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Tillsynsbegäran – information om höga naturvärden och fridlysta arter i avverkningsanmälan Arnträskbergen i Bjurholms kommun</w:t>
      </w:r>
    </w:p>
    <w:p>
      <w:r>
        <w:t>Detta dokument behandlar höga naturvärden i avverkningsanmälan Arnträskbergen i Bjurholms kommun. Denna avverkningsanmälan inkom 2025-08-02 och omfattar 1125,5 ha.</w:t>
      </w:r>
    </w:p>
    <w:p>
      <w:r>
        <w:t>Vi begär härmed att Skogsstyrelsen fattar beslut enligt miljöbalken som säkerställer att skogens höga naturvärden bevaras samt säkerställer att EU-lagstiftning efterlevs och att artskyddsbrott förhindras. Vi önskar även ta del av de ställningstaganden och beslut som myndigheterna meddelar till följd av aktuell avverkningsanmälan och föreningens inlaga (se 34 § förvaltningslagen).</w:t>
      </w:r>
    </w:p>
    <w:p>
      <w:r>
        <w:t>Nedan beskrivs fynd av naturvårdsarter och fridlysta arter som gjorts i det avverkningsanmälda området. I BILAGA 1 finns artfakta om fridlysta och rödlistade arter.</w:t>
      </w:r>
    </w:p>
    <w:p>
      <w:pPr>
        <w:pStyle w:val="Heading1"/>
      </w:pPr>
      <w:r>
        <w:t>Naturvårdsarter</w:t>
      </w:r>
    </w:p>
    <w:p>
      <w:r>
        <w:t>I avverkningsanmälan har följande 50 naturvårdsarter hittats: doftticka (VU, §8), finporing (VU), grantickeporing (VU), gräddticka (VU), lappticka (VU), ostticka (VU), rynkskinn (VU), tallbit (VU, §4), ulltickeporing (VU), doftskinn (NT), gammelgransskål (NT), garnlav (NT), granticka (NT), gränsticka (NT), harticka (NT), järpe (NT, §4), knottrig blåslav (NT), Leptoporus mollis (NT), lunglav (NT), rosenticka (NT), skrovellav (NT), spillkråka (NT, §4), stjärntagging (NT), talltita (NT, §4), tretåig hackspett (NT, §4), ullticka (NT), vedskivlav (NT), violettgrå tagellav (NT), vitgrynig nållav (NT), barkticka (S), blodticka (S), bårdlav (S), gullgröppa (S), gulnål (S), gulskölding (S), gytterlav (S), korallrot (S, §8), kornig nållav (S), luddlav (S), mörk husmossa (S), skinnlav (S), stor aspticka (S), stuplav (S), trådticka (S), vedticka (S), ögonpyrola (S), lavskrika (§4), orre (§4), tjäder (§4) och revlummer (§9). Av dessa är 29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höga naturvärden. I Figur 1 visas en karta över det avverkningsanmälda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3465266"/>
            <wp:docPr id="1" name="Picture 1"/>
            <wp:cNvGraphicFramePr>
              <a:graphicFrameLocks noChangeAspect="1"/>
            </wp:cNvGraphicFramePr>
            <a:graphic>
              <a:graphicData uri="http://schemas.openxmlformats.org/drawingml/2006/picture">
                <pic:pic>
                  <pic:nvPicPr>
                    <pic:cNvPr id="0" name="Arnträskbergen karta.png"/>
                    <pic:cNvPicPr/>
                  </pic:nvPicPr>
                  <pic:blipFill>
                    <a:blip r:embed="rId16"/>
                    <a:stretch>
                      <a:fillRect/>
                    </a:stretch>
                  </pic:blipFill>
                  <pic:spPr>
                    <a:xfrm>
                      <a:off x="0" y="0"/>
                      <a:ext cx="5486400" cy="3465266"/>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7141343, E 660933 i SWEREF 99 TM.</w:t>
      </w:r>
    </w:p>
    <w:p>
      <w:r>
        <w:rPr>
          <w:b/>
        </w:rPr>
        <w:t>Doftskinn (NT)</w:t>
      </w:r>
      <w:r>
        <w:t>, rödlistad som nära hotad, är en mycket bra signalart för boreal granskog och indikerar ett gran-skogsekosystem med lång kontinuitet av grova lågor. Arten är placerad i toppen av Skogsstyrelsens värdepyramid för bedömning av skog med höga naturvärden och har klassats som en “urskogsindikator”, då den förekommer med ett tydligt optimum i helt eller nästan helt orörda skogar (Nitare &amp; Skogsstyrelsen, 2019).</w:t>
      </w:r>
    </w:p>
    <w:p>
      <w:r>
        <w:rPr>
          <w:b/>
        </w:rPr>
        <w:t>Gammelgransskål (NT)</w:t>
      </w:r>
      <w:r>
        <w:t xml:space="preserve"> är en liten skålsvamp som växer på gamla granar med skrovlig bark. Typiska växtplatser är gransumpskog i myrkanter, bäckdråg, bäckraviner och skuggiga bergssluttningar, men också skog på torrare mark kan hysa arten om beståndet har stark naturskogskaraktär. Bestånd med arten bör behandlas som nyckelbiotoper och sparas vid en slutavverkning. Även gallring bör undvikas (SLU Artdatabanken, 2024; Nitare &amp; Skogsstyrelsen, 2019).</w:t>
      </w:r>
    </w:p>
    <w:p>
      <w:r>
        <w:rPr>
          <w:b/>
        </w:rPr>
        <w:t>Garnlav (NT)</w:t>
      </w:r>
      <w:r>
        <w:t xml:space="preserve"> är en utpräglad barrskogsart som ibland kan drapera träden i norrländska grannaturskogar med hög luftfuktighet. Den förekommer även i talldominerade bestånd där den, förutom i trädens grenverk, påträffas hängande över ojämnheter i tallbarken. Arten har minskat starkt i södra och mellersta Sverige och den minskar även i sitt nordliga utbredningsområde. Orsaken till tillbakagången beror främst på slutavverkningar av naturskogsartade skogar. Bestånd med riklig förekomst bör regelmässigt sparas. Garnlav är värdväxt för den mycket sällsynta och akut hotade fjärilen barrskogslavfly (CR) som hör hemma i boreala barrskogar med riklig förekomst av värdväxten. Tidigare kunde arten konstateras årligen på flera platser vid Dala-Floda i Dalarna innan lokalerna kalavverkades. Senaste fyndet i landet av barrskogslavfly är från år 2000 då den påträffades vid Högberget i Sollefteå kommun (SLU Artdatabanken, 2024).</w:t>
      </w:r>
    </w:p>
    <w:p>
      <w:r>
        <w:rPr>
          <w:b/>
        </w:rPr>
        <w:t>Granticka (NT)</w:t>
      </w:r>
      <w:r>
        <w:t xml:space="preserve"> förekommer främst i äldre skogar med naturskogskaraktär, liksom i dimensionsavverkade och plockhuggna skogar. I äldre grannaturskog i norra Sverige är den alltjämt en förhållandevis vanlig karaktärsart, medan den längre söderut blir allt mer sällsynt. I Götaland och delar av Svealand är den en god signalart för skyddsvärda granskogsmiljöer. Arten bedöms ha minskat starkt under senare år på grund av skogsavverkningar, då den framför allt växer i äldre granskog med långvarig grankontinuitet. I urskogsliknande bestånd i norra Sverige kan ibland påträffas den mycket sällsynta tickan grantickeporing (VU), som lever på döda grantickor (SLU Artdatabanken, 2024; Nitare &amp; Skogsstyrelsen, 2019).</w:t>
      </w:r>
    </w:p>
    <w:p>
      <w:r>
        <w:rPr>
          <w:b/>
        </w:rPr>
        <w:t>Grantickeporing (VU)</w:t>
      </w:r>
      <w:r>
        <w:t xml:space="preserve"> växer på murken ved och döda fruktkroppar av granticka (NT) och gränsticka (NT). Den förekommer i naturskogsliknade granskogar, gärna i fuktiga miljöer vid källbäckar och liknande. Avverkning av naturskogslika miljöer och av grova granar där grantickeporing förekommer är ett direkt hot mot artens fortlevnad. Gamla granskogar som hyser arten undantas helt från skogsbruk (SLU Artdatabanken, 2024).</w:t>
      </w:r>
    </w:p>
    <w:p>
      <w:r>
        <w:rPr>
          <w:b/>
        </w:rPr>
        <w:t>Gräddticka (VU)</w:t>
      </w:r>
      <w:r>
        <w:t xml:space="preserve"> har klassificerats som en ”gammelskogsindikator” och signalerar granskogar med höga naturvärden. Den kräver miljöer med hög och jämn fuktighet och växtplatserna ligger oftast på näringsrik, fuktig eller blöt mark där lågan och den murkna veden hålls konstant fuktig. Slutavverkning av gammelgranskog är ett direkt hot mot artens existens i landet och artens växtplatser måste undantas från skogsbruk (SLU Artdatabanken, 2024; Nitare &amp; Skogsstyrelsen, 2019).</w:t>
      </w:r>
    </w:p>
    <w:p>
      <w:r>
        <w:rPr>
          <w:b/>
        </w:rPr>
        <w:t>Gränsticka (NT)</w:t>
      </w:r>
      <w:r>
        <w:t xml:space="preserve"> är en mycket bra signalart inom hela sitt utbredningsområde. Den är huvudsakligen knuten till restbestånd av barrnaturskog och förekommer med ett tydligt optimum i orörda eller måttligt påverkade gamla granskogar där det föreligger långvarig kontinuitet av grov död ved. Lokaler som hyser arten, speciellt i mellersta och södra Sverige, bör undantas från skogsbruk (SLU Artdatabanken, 2024; Nitare &amp; Skogsstyrelsen, 2019).</w:t>
      </w:r>
    </w:p>
    <w:p>
      <w:r>
        <w:rPr>
          <w:b/>
        </w:rPr>
        <w:t>Harticka (NT)</w:t>
      </w:r>
      <w:r>
        <w:t xml:space="preserve"> är normalt en mycket bra signalart för granskogar med höga naturvärden. Även när svampen påträffas i mer påverkade skogar är det nästan alltid fråga om skogsmiljöer i sena successionsstadier med höga naturvärden. Skogsskötselåtgärder på eller i omedelbar närhet av växtplatserna kan innebära ett hot mot arten (SLU Artdatabanken, 2024; Nitare &amp; Skogsstyrelsen, 2019).</w:t>
      </w:r>
    </w:p>
    <w:p>
      <w:r>
        <w:rPr>
          <w:b/>
        </w:rPr>
        <w:t>Knottrig blåslav (NT)</w:t>
      </w:r>
      <w:r>
        <w:t xml:space="preserve"> har sin huvudutbredning i gamla granskogar i det övre barrskogsbältet mot fjällen. Den signalerar alltid höga naturvärden och växer i skogar med lång kontinuitet, mest i opåverkade naturskogsbestånd. Arten överlever inte en slutavverkning (inklusive hänsyn) och den finns idag enbart i kontinuitetsskog. Lavens fortsatta förekomst bör säkerställas genom att lokaler med äldre barrskog skyddas (SLU Artdatabanken, 2024; Nitare &amp; Skogsstyrelsen, 2019).</w:t>
      </w:r>
    </w:p>
    <w:p>
      <w:r>
        <w:rPr>
          <w:b/>
        </w:rPr>
        <w:t xml:space="preserve">Kornig nållav </w:t>
      </w:r>
      <w:r>
        <w:t>förekommer i skuggiga miljöer med hög luftfuktighet och påträffas främst i gamla skogar eller på gamla träd. Den signalerar höga naturvärden och på lokalerna finns ofta flera ovanliga och rödlistade arter (SLU Artdatabanken, 2024; Nitare &amp; Skogsstyrelsen, 2019).</w:t>
      </w:r>
    </w:p>
    <w:p>
      <w:r>
        <w:rPr>
          <w:b/>
        </w:rPr>
        <w:t>Lappticka (VU)</w:t>
      </w:r>
      <w:r>
        <w:t>, rödlistad som sårbar, är knuten till gamla granskogar med riklig förekomst av död ved. Den klassas som en “urskogsindikator” och alla skogsskötselåtgärder på eller i omedelbar närhet av lokalerna utgör ett hot (Nitare &amp; Skogsstyrelsen, 2019; SLU Artdatabanken, 2024).</w:t>
      </w:r>
    </w:p>
    <w:p>
      <w:r>
        <w:rPr>
          <w:b/>
          <w:i/>
        </w:rPr>
        <w:t xml:space="preserve">Leptoporus mollis </w:t>
      </w:r>
      <w:r>
        <w:rPr>
          <w:b/>
        </w:rPr>
        <w:t>(NT)</w:t>
      </w:r>
      <w:r>
        <w:t xml:space="preserve"> är granens kötticka och har klassificerats som ”gammelskogsindikator”, då den förekommer med ett tydligt optimum i äldre barrskogar, främst fuktiga granskogar. Den har högst signalvärde söder om den naturliga norrlandsgränsen </w:t>
      </w:r>
      <w:r>
        <w:rPr>
          <w:i/>
        </w:rPr>
        <w:t>limes norrlandicus</w:t>
      </w:r>
      <w:r>
        <w:t>, men signalerar vanligtvis höga naturvärden även i Norrland. Arten är knuten till miljöer med konstant luftfuktighet och känslig för uttorkning som en avverkning kan medföra. Den totala populationen bedöms därför ha minskat under de senaste 30 åren och fortsätter att minska i takt med att grankontinuitetsskogar (skogar som inte kalavverkats) minskar i areal, samtidigt som att lämpliga miljöer inte återskapas i samma takt (SLU Artdatabanken, 2024; Nitare &amp; Skogsstyrelsen, 2019).</w:t>
      </w:r>
    </w:p>
    <w:p>
      <w:r>
        <w:rPr>
          <w:b/>
        </w:rPr>
        <w:t>Lunglav (NT)</w:t>
      </w:r>
      <w:r>
        <w:t xml:space="preserve"> är en av vårt lands främsta signalarter som överallt indikerar gamla lövträd, skogsbestånd med höga naturvärden och ekosystem med lång skoglig kontinuitet. Lokalt kan förekomsten vara mycket riklig men den hittas nästan enbart i gamla och ej slutavverkade skogar. Artens samtliga förekomster bör uppmärksammas från naturvårdssynpunkt, då många lokaler även hyser andra ovanliga och rödlistade arter. Rikliga förekomster bör skyddas med biotopskydd, frivilliga avsättningar eller reservat. Det finns ett antal sällsynta lavparasiter som växer på lunglav: lunglavsknapp (VU), skrovelmössing (DD), lunglavshårprick (DD), </w:t>
      </w:r>
      <w:r>
        <w:rPr>
          <w:i/>
        </w:rPr>
        <w:t>Calycina alstrupii</w:t>
      </w:r>
      <w:r>
        <w:t xml:space="preserve"> (NA) och </w:t>
      </w:r>
      <w:r>
        <w:rPr>
          <w:i/>
        </w:rPr>
        <w:t>Chalara lobariae</w:t>
      </w:r>
      <w:r>
        <w:t xml:space="preserve"> (NA) (SLU Artdatabanken, 2025; SLU Artdatabanken, 2024; Nitare &amp; Skogsstyrelsen, 2019).</w:t>
      </w:r>
    </w:p>
    <w:p>
      <w:r>
        <w:rPr>
          <w:b/>
        </w:rPr>
        <w:t xml:space="preserve">Mörk husmossa </w:t>
      </w:r>
      <w:r>
        <w:t>är en mycket bra signalart i södra och mellersta Sverige. Den är sannolikt svårspridd och växer huvudsakligen i skog med lång skoglig kontinuitet i områden med konstant hög luftfuktighet. Den är känslig för större avverkningar, men tål plockhuggning som lämnar ett tätare trädskikt och ett obrutet, fukthållande mosstäcke på marken. Ett par studier har klart visat att artens tillväxt försämras när skogen huggs ner intill växtplatsen, och att ett kalhygges påverkan på mörk husmossa avtar både med avståndet från kalhygget och ju fuktigare växtplatsen är (SLU Artdatabanken, 2024; Nitare &amp; Skogsstyrelsen, 2019).</w:t>
      </w:r>
    </w:p>
    <w:p>
      <w:r>
        <w:rPr>
          <w:b/>
        </w:rPr>
        <w:t xml:space="preserve">Ostticka (VU) </w:t>
      </w:r>
      <w:r>
        <w:t>växer huvudsakligen på grova granlågor i urskogsartad barrskog. Växtplatserna ligger vanligtvis i brandrefugiala områden med relativt hög luftfuktighet där skogen under lång tid haft en intern beståndsdynamik med successivt avdöende träd. Alla skogsskötselåtgärder på eller i omedelbar närhet av lokalerna inverkar negativt på artens fortlevnad (SLU Artdatabanken, 2024; Nitare &amp; Skogsstyrelsen, 2019).</w:t>
      </w:r>
    </w:p>
    <w:p>
      <w:r>
        <w:rPr>
          <w:b/>
        </w:rPr>
        <w:t>Rosenticka (NT)</w:t>
      </w:r>
      <w:r>
        <w:t>, rödlistad som nära hotad, ingår i en karaktäristisk association av vedsvampar som växer på gamla, grova granlågor i urskogsartade barrskogar. Den är placerad i toppen av Skogsstyrelsens värdepyramid för bedömning av skog med höga naturvärden och indikerar ett granskogsekosystem med långvarig kontinuitet av grova lågor. Artens beroende av grova granlågor innebär att alla skogsskötselåtgärder på eller i omedelbar närhet av lokalerna utgör ett hot på lång sikt. Det är angeläget att populationerna inte ytterligare glesas ut och ett tillräckligt antal områden där arten nu finns måste sparas för framtiden (Nitare &amp; Skogsstyrelsen, 2019; SLU Artdatabanken, 2024).</w:t>
      </w:r>
    </w:p>
    <w:p>
      <w:r>
        <w:rPr>
          <w:b/>
        </w:rPr>
        <w:t>Rynkskinn (VU)</w:t>
      </w:r>
      <w:r>
        <w:t>, rödlistad som sårbar, är en vednedbrytare som växer på grova granlågor och ingår i en karaktäristisk association av vedsvampar knutna till urskogsartade barrskogar. Den har klassificerats som en “urskogsindikator” och är placerad i toppen av Skogsstyrelsens värdepyramid för bedömning av skog med höga naturvärden. Allt tyder på att rynkskinn är mycket känslig för skogliga ingrepp (Nitare &amp; Skogsstyrelsen, 2019; SLU Artdatabanken, 2024).</w:t>
      </w:r>
    </w:p>
    <w:p>
      <w:r>
        <w:rPr>
          <w:b/>
        </w:rPr>
        <w:t xml:space="preserve">Skinnlav </w:t>
      </w:r>
      <w:r>
        <w:t>förekommer på diverse lövträd, främst på gammal asp och sälg. Den påträffas främst i områden med lång kontinuitet av grova lövträd och signalerar skogsmark med höga naturvärden. På lokalerna förekommer som regel ett flertal andra ovanliga eller rödlistade lavar. I likhet med gelélavarna, etablerar sig skinnlaven i skogsmark på grova aspar i sena lövsuccessioner (Nitare &amp; Skogsstyrelsen, 2019).</w:t>
      </w:r>
    </w:p>
    <w:p>
      <w:r>
        <w:rPr>
          <w:b/>
        </w:rPr>
        <w:t>Skrovellav (NT)</w:t>
      </w:r>
      <w:r>
        <w:t xml:space="preserve"> växer på gamla lövträd och på klippor i gamla skogar med hög och jämn luftfuktighet. Slutavverkning av kontinuitetsskog utgör det största hotet och lavens fortsatta förekomst bör säkerställas genom att lokaler med äldre skog skyddas. I områden med mycket hög luftfuktighet kan man på bålen av skrovellav finna en sällsynt parasitsvamp med rödbruna apothecier, skrovellavsknapp </w:t>
      </w:r>
      <w:r>
        <w:rPr>
          <w:i/>
        </w:rPr>
        <w:t>Plectocarpon scrobiculatae</w:t>
      </w:r>
      <w:r>
        <w:t xml:space="preserve"> (EN) (SLU Artdatabanken, 2024; Nitare &amp; Skogsstyrelsen, 2019).</w:t>
      </w:r>
    </w:p>
    <w:p>
      <w:r>
        <w:rPr>
          <w:b/>
        </w:rPr>
        <w:t>Stjärntagging (NT)</w:t>
      </w:r>
      <w:r>
        <w:t xml:space="preserve"> signalerar inom hela sitt utbredningsområde höga naturvärden. Svampen är uttorkningskänslig och beroende av ett oförändrat fuktigt mikroklimat. Den är även beroende av en ständig tillgång på död ved i olika nedbrytningsstadier, dock ej nödvändigtvis grova träd. Tidigare påverkan på miljön måste dock ha varit så skonsam att det naturliga skogsekosystemet till stora delar har bevarats. Minskningstakten för den svenska populationen bedöms vara nära gränsvärdet för Sårbar (VU) (SLU Artdatabanken, 2024; Nitare &amp; Skogsstyrelsen, 2019).</w:t>
      </w:r>
    </w:p>
    <w:p>
      <w:r>
        <w:rPr>
          <w:b/>
        </w:rPr>
        <w:t>Stor aspticka</w:t>
      </w:r>
      <w:r>
        <w:t xml:space="preserve"> är knuten till gamla levande aspar och orsakar karaktäristiska inbuktningar i stammen (så kallad nekroser). Slutavverknings- och gallringsåtgärder i löv- och blandskogsbestånd som innebär att tillgången på grov asp minskar är ett hot mot arten. Det är viktigt att äldre aspar och aspbestånd sparas och för att gynna arten på sikt bör aspinslagen i t.ex. bergbranter, raviner, skogsbryn och kring äldre odlingsmarker generellt sparas i större utsträckning än vad som görs idag (SLU Artdatabanken, 2024; Nitare &amp; Skogsstyrelsen, 2019).</w:t>
      </w:r>
    </w:p>
    <w:p>
      <w:r>
        <w:rPr>
          <w:b/>
        </w:rPr>
        <w:t>Stuplav</w:t>
      </w:r>
      <w:r>
        <w:t xml:space="preserve"> är en mycket bra signalart i hela sitt utbredningsområde och förekommer nästan enbart i skogsmiljöer med höga naturvärden. Den indikerar långvarig förekomst av gamla lövträd och miljöer med konstant hög luftfuktighet. I skogar med suboceaniskt klimat finns det en mycket sällsynt parasit, njurlavsknapp </w:t>
      </w:r>
      <w:r>
        <w:rPr>
          <w:i/>
        </w:rPr>
        <w:t>Pletocarpon nephromeum</w:t>
      </w:r>
      <w:r>
        <w:t xml:space="preserve"> (EN), som växer på stuplav (SLU Artdatabanken, 2024; Nitare &amp; Skogsstyrelsen, 2019).</w:t>
      </w:r>
    </w:p>
    <w:p>
      <w:r>
        <w:rPr>
          <w:b/>
        </w:rPr>
        <w:t>Ullticka (NT)</w:t>
      </w:r>
      <w:r>
        <w:t xml:space="preserve"> är knuten till restbestånd av barrnaturskog och förekommer med ett tydligt optimum i orörda eller måttligt påverkade gamla granskogar där det föreligger viss kontinuitet av grov död ved. Ullticka är en bra signalart inom hela sitt utbredningsområde och i södra Sverige är den sällsynt och en god signalart för skyddsvärda granskogsmiljöer. Den hotas av avverkning och fragmentering av naturskog och äldre granskog med lång trädkontinuitet. På ullticka kan ibland ulltickeporing (VU) påträffas - det är en sällsynt ticka som nyligen delats upp i tre olika arter: </w:t>
      </w:r>
      <w:r>
        <w:rPr>
          <w:i/>
        </w:rPr>
        <w:t xml:space="preserve">Skeletocutis brevispora </w:t>
      </w:r>
      <w:r>
        <w:t>(ulltickeporing)</w:t>
      </w:r>
      <w:r>
        <w:rPr>
          <w:i/>
        </w:rPr>
        <w:t>, Skeletocutis delicata och Skeletocutis exilis</w:t>
      </w:r>
      <w:r>
        <w:t>. De två sistnämnda arterna står för närvarande (2020) som ej bedömda i rödlistan (SLU Artdatabanken, 2024; Nitare &amp; Skogsstyrelsen, 2019; Miettinen &amp; Niemelä, 2018).</w:t>
      </w:r>
    </w:p>
    <w:p>
      <w:r>
        <w:rPr>
          <w:b/>
        </w:rPr>
        <w:t xml:space="preserve">Ulltickeporing </w:t>
      </w:r>
      <w:r>
        <w:rPr>
          <w:b/>
          <w:i/>
        </w:rPr>
        <w:t>Skeletocutis brevispora</w:t>
      </w:r>
      <w:r>
        <w:rPr>
          <w:b/>
        </w:rPr>
        <w:t xml:space="preserve"> (VU)</w:t>
      </w:r>
      <w:r>
        <w:t>, rödlistad som sårbar, växer på ullticka (NT) i naturskogsartade granskogar. Avverkning av naturskogslika miljöer och av grova granar där ulltickeporing förekommer är ett direkt hot mot artens fortlevnad. Alla skogliga åtgärder som innebär att lågor och döda eller skadade träd tas bort missgynnar arten. På sikt är minskad tillgång till lämpligt substrat och krympande areal av naturskog ett hot, framförallt råder brist på grov ved som lågor i sena nedbrytningsstadier. Ytterligare fragmentering av skogslandskapet minskar artens möjligheter till spridning. Gamla granskogar som hyser arten undantas helt från skogsbruk (SLU Artdatabanken, 2024).</w:t>
      </w:r>
    </w:p>
    <w:p>
      <w:r>
        <w:rPr>
          <w:b/>
        </w:rPr>
        <w:t>Vedskivlav (NT)</w:t>
      </w:r>
      <w:r>
        <w:t xml:space="preserve"> växer på gammal, torr, exponerad, hård kärnved av framförallt tall i naturskogsartade bestånd. Avverkning av tallskog av naturskogskaraktär med spår av återkommande bränder är ett hot. Mängden lämplig ved att växa på för vedskivlav minskar, dels på grund av naturlig nedbrytning men framförallt på grund av att de förstörs i samband med slutavverkningar, gallringar och markberedning. Tall- och blandbarrskogar av naturskogskaraktär med spår av återkommande bränder bör skyddas (SLU Artdatabanken, 2024).</w:t>
      </w:r>
    </w:p>
    <w:p>
      <w:r>
        <w:rPr>
          <w:b/>
        </w:rPr>
        <w:t>Violettgrå tagellav (NT)</w:t>
      </w:r>
      <w:r>
        <w:t xml:space="preserve"> växer nästan uteslutande i gamla olikåldriga barrnaturskogar med lång skoglig kontinuitet och är en utmärkt signal på skog med höga naturvärden. Slutavverkning av tidigare aldrig slutavverkad skog (kontinuitetsskog) är det största hotet. Biotopen nyskapas i begränsad omfattning och barrskog äldre än 160 år, där den violettgrå tagellaven huvudsakligen påträffas har minskat med 50% de senaste 50 åren. Lågproduktiv skogsmark där laven förekommer bör undantas från skogsbruk och rika förekomster i äldre granskog bör skyddas. Arten är känslig för uttorkning och det är väsentligt att tillräckligt stora bestånd avsätts (SLU Artdatabanken, 2024; Nitare &amp; Skogsstyrelsen, 2019).</w:t>
      </w:r>
    </w:p>
    <w:p>
      <w:r>
        <w:rPr>
          <w:b/>
        </w:rPr>
        <w:t>Vitgrynig nållav (NT)</w:t>
      </w:r>
      <w:r>
        <w:t xml:space="preserve"> växer nästan uteslutande på bark av gamla, senvuxna granar i skuggiga lägen med hög och jämn luftfuktighet. Den vanligaste naturtypen för arten är kontinuitetsskogar på frisk mark men den finns också i sumpgranskogar. På lång sikt utgör avverkningar av olikåldriga granskogar av naturskogskaraktär ett allvarligt hot mot arten och skogsbruksåtgärder på eller i närheten av växtplatserna bör undvikas. Naturskogsartade, fuktiga granskogar med förekomster av arten signalerar höga biologiska värden och bör bevaras (SLU Artdatabanken, 2024; Nitare &amp; Skogsstyrelsen, 2019).</w:t>
      </w:r>
    </w:p>
    <w:p>
      <w:r>
        <w:rPr>
          <w:b/>
        </w:rPr>
        <w:t xml:space="preserve">Ögonpyrola </w:t>
      </w:r>
      <w:r>
        <w:t>är normalt en bra signalart som visar på områden med höga naturvärden och stabila förhållanden, särskilt inom näringsfattiga trakter. Växten är mycket känslig för markskador och försvinner snabbt efter slutavverkning. Den hotas också av skogsgödsling och markavvattning (Nitare &amp; Skogsstyrelsen, 2019).</w:t>
      </w:r>
    </w:p>
    <w:p>
      <w:pPr>
        <w:pStyle w:val="Heading1"/>
      </w:pPr>
      <w:r>
        <w:t>Fridlysta arter</w:t>
      </w:r>
    </w:p>
    <w:p>
      <w:r>
        <w:t>Följande fridlysta arter har sina livsmiljöer och växtplatser i den avverkningsanmälda skogen: doftticka (VU, §8), tallbit (VU, §4), järpe (NT, §4), spillkråka (NT, §4), talltita (NT, §4), tretåig hackspett (NT, §4), korallrot (S, §8), lavskrika (§4), orre (§4), tjäder (§4) och revlummer (§9).</w:t>
      </w:r>
    </w:p>
    <w:p>
      <w:r>
        <w:t xml:space="preserve">Observera att medlemsländerna är skyldiga att agera i enlighet med EU:s fågeldirektiv där det uttryckligen står att direktivet gäller för fåglar samt för deras ägg, bon och </w:t>
      </w:r>
      <w:r>
        <w:rPr>
          <w:b/>
        </w:rPr>
        <w:t xml:space="preserve">livsmiljöer </w:t>
      </w:r>
      <w:r>
        <w:t>(artikel 1). Vidare att de åtgärder som vidtas inte får leda till en försämring av den nuvarande situationen beträffande bevarandet av de fågelarter som avses i artikel 1 (artikel 13). Fågeldirektivet är styrande för tillsynsansvariga myndigheters ärendehantering, ställningstaganden och beslutsfattande.</w:t>
      </w:r>
    </w:p>
    <w:p>
      <w:r>
        <w:rPr>
          <w:b/>
        </w:rPr>
        <w:t>Doftticka (VU, §8)</w:t>
      </w:r>
      <w:r>
        <w:t xml:space="preserve"> är rödlistad som sårbar (VU) och fridlyst enligt 8§ artskyddsförordningen. Den är även globalt rödlistad som Nära hotad (NT) vilket innebär att Sverige har ett internationellt ansvar för arten. Doftticka är beroende av hög och jämn luftfuktighet i gamla, ostörda skogsmiljöer och är känslig för snabba förändringar av ljus-/vindförhållanden eller uttorkning. Dofttickan är placerad i toppen av Skogsstyrelsens värdepyramid för bedömning av skog med höga naturvärden och signalerar alltid gamla sälgar och skogsområden med höga naturvärden. Avverkning av värdträd (främst sälg) utgör det största hotet och när gamla och olikåldriga skogar med sälg avverkas försvinner oftast sälgen. Dofttickan har minskat med ca 30 % under de senaste 30 åren (IUCN Redlist, 2024; Nitare &amp; Skogsstyrelsen, 2019; SLU Artdatabanken, 2024).</w:t>
      </w:r>
    </w:p>
    <w:p>
      <w:r>
        <w:rPr>
          <w:b/>
        </w:rPr>
        <w:t>Järpe (NT, §4)</w:t>
      </w:r>
      <w:r>
        <w:t>, rödlistad som nära hotad och prioriterad art i Skogsvårdslagen har häckningsrevir i avverkningsanmälan. Arten har minskat med 25 (10–40) % under de senaste 12 åren och är mycket stationär inom sitt revir som är minst 25 hektar stort. Dess livsmiljöer utgörs av tät barrskog med inblandning av lövträd och en väl utvecklad flerskiktad struktur med bärris och yngre eller undertryckta, täta granar i ett lägre skikt, ofta utmed bäckar och åar inne i den skyddande granskogen. Järpen överlever inte om dess livsmiljö kalavverkas och är även känslig för röjning, gallring och avverkning där unga granar och lövträd inte sparas i tillräcklig omfattning (SLU Artdatabanken, 2022).</w:t>
      </w:r>
    </w:p>
    <w:p>
      <w:r>
        <w:rPr>
          <w:b/>
        </w:rPr>
        <w:t>Korallrot (§8)</w:t>
      </w:r>
      <w:r>
        <w:t xml:space="preserve"> växer i sumpskogar och annan fuktig eller växelfuktig skogsmark, exempelvis i alkärr och kärrkanter, fuktiga bäckdalar, raviner, myrlaggar, sumpiga strandskogar samt i fuktiga lundar. Den visar på mer eller mindre stabila förhållanden och intakt hydrologi och är känslig för avverkning, körskador, skogsgödsling och dikning. Arten är fridlyst enligt 8 § artskyddsförordningen (SLU Artdatabanken, 2024; Nitare &amp; Skogsstyrelsen, 2019).</w:t>
      </w:r>
    </w:p>
    <w:p>
      <w:r>
        <w:rPr>
          <w:b/>
        </w:rPr>
        <w:t>Lavskrika (§4)</w:t>
      </w:r>
      <w:r>
        <w:t>, prioriterad art i Skogsvårdslagen, är en mycket stationär fågel, som häckar i äldre, slutna och hänglavsrika barrskogar. Reviren är livslånga med hemområden som varierar mellan 50 och 150 ha. Inom ett revir av hög kvalitet finns det som regel ett eller flera kärnområden (1–20 ha) med relativt tät flerskiktad granskog. Arten missgynnas när flerskiktad skog omförs till enskiktade bestånd och även röjning och hård gallring är starkt negativt. Lavskrikan har relativt stora hemområden och försvinner när den äldre skogen fragmenteras, särskilt allvarligt är när kärnområdena avverkas. (Skogsstyrelsen 2016). Populationen har minskat med 20–40 % de senaste 30 åren. Arten försvinner successivt framför allt vid dess utbredningsgränser (SLU Artdatabanken, 2021).</w:t>
      </w:r>
    </w:p>
    <w:p>
      <w:r>
        <w:rPr>
          <w:b/>
        </w:rPr>
        <w:t>Spillkråka (NT, §4)</w:t>
      </w:r>
      <w:r>
        <w:t xml:space="preserve"> är rödlistad som nära hotad och ingår i bilaga 1 i EU:s fågeldirektiv. Den minskar i population på grund av minskad tillgång på lämpliga bo- och födoträd och minskad födotillgång. Spillkråkans minskningstakt har uppgått till 19 (24–10) % under de senaste 15 åren. Minskningstakten för den svenska populationen bedöms vara nära gränsvärdet för Sårbar (VU) (A2bc). Skogsbruk med korta omloppstider och täta, homogena ungskogar utgör det största hotet, (SLU Artdatabanken, 2023).</w:t>
      </w:r>
    </w:p>
    <w:p>
      <w:r>
        <w:rPr>
          <w:b/>
        </w:rPr>
        <w:t>Tallbit (VU, §4)</w:t>
      </w:r>
      <w:r>
        <w:t>, rödlistad som sårbar och prioriterad art i Skogsvårdslagen, har minskat med 25–75 % de senaste 30 åren. Tallbit ställer höga krav på sin livsmiljö och permanent förekomst av häckande tallbit finns huvudsakligen i gammal grandominerad barrblandskog av naturskogskaraktär. Reviren är relativt stora (12–75 hektar) och arten saknas i områden med storskaligt skogsbruk med hög andel stora hyggen och täta ungskogar. Områden med dokumenterad permanent förekomst har vanligtvis så stora naturvärden att skogsbruk är olämpligt (SLU Artdatabanken, 2024; Skogsstyrelsen, 2016). Observationer av tallbit i naturskog eller under häckningstid måste alltid utredas.</w:t>
      </w:r>
    </w:p>
    <w:p>
      <w:r>
        <w:rPr>
          <w:b/>
        </w:rPr>
        <w:t>Talltita (NT, §4)</w:t>
      </w:r>
      <w:r>
        <w:t>, rödlistad som nära hotad och prioriterad art i Skogsvårdslagen har häckningsrevir i anmälan. Arten har minskat kraftigt de senaste 30 åren och minskningstakten innevarande 10-årsperiod beräknas till 20 (10–30) %. Talltitan är synnerligen trogen sitt cirka 15 hektar stora revir och är beroende av flerskiktade olikåldriga skogar för att kunna föda upp sina ungar. Talltitan försvinner om dess livsmiljö kalavverkas (Eggers &amp; Low (2014); Ekman (1979); Griesser et al (2007); Klein (2020); Siffczyk et al (2003); SLU Artdatabanken (2021).</w:t>
      </w:r>
    </w:p>
    <w:p>
      <w:r>
        <w:rPr>
          <w:b/>
        </w:rPr>
        <w:t>Tretåig hackspett (NT, §4)</w:t>
      </w:r>
      <w:r>
        <w:t xml:space="preserve"> är rödlistad som nära hotad och ingår i bilaga 1 i EU:s fågeldirektiv. Tretåig hackspett är för sin överlevnad beroende av kontinuerlig tillförsel av äldre döende och död ved, som sker genom naturliga självgallringsprocesser i äldre grannaturskogar och barrblandade naturskogar. Om en skog genom skogsbruk gallras eller glesas ur så upphör och uteblir i stort sett den naturliga självgallringsprocessen för mycket lång tid framöver vilket omöjliggör upprätthållandet av den kontinuerliga ekologiska funktionen i ett område. Det finns studier som visar att naturskogens självgallringsprocess som den tretåiga hackspetten är beroende av, inte kan ersättas med efterlämnad hänsyn i skogsbruket (Imbeau &amp; Desrochers, 2002). Storleken på häckningsreviret varierar med skogstypen, förekomsten av död ved och graden av fragmentering, men är i allmänhet i storleksordningen 25–100 hektar. Vintertid krävs ofta betydligt större områden och det finns studier som antyder att arten behöver minst 100 hektar äldre skog. I områden med låg bonitet kan det behövas över 200 hektar lämpligt habitat för att ett par ska kunna reproducera sig. Områden med dokumenterad permanent förekomst i naturskogsmiljöer har vanligen så stora naturvärden att skogsbruk är olämpligt (Skogsstyrelsen, 2016).</w:t>
      </w:r>
    </w:p>
    <w:p>
      <w:r>
        <w:t>I BILAGA 1 finns mer detaljerad information om ekologi samt krav på livsmiljö hos fridlysta arter.</w:t>
      </w:r>
    </w:p>
    <w:p>
      <w:r>
        <w:br w:type="page"/>
      </w:r>
    </w:p>
    <w:p>
      <w:pPr>
        <w:pStyle w:val="Title"/>
      </w:pPr>
      <w:r>
        <w:t>BILAGA 1 –</w:t>
        <w:br/>
        <w:t>Fridlysta och rödlistade arter</w:t>
      </w:r>
    </w:p>
    <w:p>
      <w:pPr>
        <w:pStyle w:val="Heading1"/>
      </w:pPr>
      <w:r>
        <w:t>Järpe – ekologi samt krav på livsmiljön</w:t>
      </w:r>
    </w:p>
    <w:p>
      <w:r>
        <w:t>Järpe är rödlistad som nära hotad (NT), fridlyst enligt 4§ Artskyddsförordningen och prioriterad art i Skogsvårdslagen. Järpen, som minskat med 25 (10–40) % under de senaste 12 åren, har sina livsmiljöer i tät barrskog med inblandning av lövträd och en väl utvecklad flerskiktad struktur med bärris och yngre eller undertryckta, täta granar i ett lägre skikt, ofta utmed bäckar och åar inne i den skyddande granskogen.</w:t>
      </w:r>
    </w:p>
    <w:p>
      <w:r>
        <w:t>Arten behöver lämpliga skogsbestånd om sammanlagt minst 25 hektar. Den är mycket stationär inom sitt revir och när ett par etablerat sig stannar de så länge miljön är intakt. Den undviker öppen mark och förﬂyttar sig sällan över större öppna myrar eller åkermark, och är därför känslig för fragmentering. Järpen överlever inte om dess livsmiljö kalavverkas och är även känslig för röjning, gallring och avverkning där unga granar och lövträd inte sparas i tillräcklig omfattning (SLU Artdatabanken, 2022).</w:t>
      </w:r>
    </w:p>
    <w:p>
      <w:pPr>
        <w:pStyle w:val="Heading2"/>
      </w:pPr>
      <w:r>
        <w:t>Referenser – järpe</w:t>
      </w:r>
    </w:p>
    <w:p>
      <w:r>
        <w:t xml:space="preserve">SLU Artdatabanken, 2022. </w:t>
      </w:r>
      <w:r>
        <w:rPr>
          <w:i/>
        </w:rPr>
        <w:t xml:space="preserve">Artfaktablad. Naturvård – artfakta. </w:t>
      </w:r>
      <w:r>
        <w:t>SLU Artdatabanken, Uppsala</w:t>
      </w:r>
    </w:p>
    <w:p>
      <w:pPr>
        <w:pStyle w:val="Heading1"/>
      </w:pPr>
      <w:r>
        <w:t>Lavskrika – ekologi samt krav på livsmiljön</w:t>
      </w:r>
    </w:p>
    <w:p>
      <w:r>
        <w:t>Lavskrikan är fridlyst enligt 4 § artskyddsförordningen (2007:845) och ingår i förteckningen över prioriterade arter i Skogsstyrelsens föreskrifter och allmänna råd (SKSFS 2011:7) bilaga 4.</w:t>
      </w:r>
    </w:p>
    <w:p>
      <w:r>
        <w:t xml:space="preserve">I Skogsstyrelsens vägledning för hänsyn till fåglar står bland annat att: </w:t>
      </w:r>
      <w:r>
        <w:rPr>
          <w:i/>
        </w:rPr>
        <w:t>“Reviren är livslånga med hemområden som varierar mellan 50 och 150 ha. Hemområdena har inga fasta gränser utan det handlar mera om de yttre gränserna för familjegruppernas rörelser. Lavskrikan undviker att förflytta sig över stora öppna områden och hemområdesstorleken är därför större i områden fragmenterade av hyggen och yngre skog än i områden med i sammanhängande äldre skog. Det finns studier som antyder att det inom ett revir bör finnas maximalt 15 % öppna ytor och ungskog. Inom ett revir av hög kvalitet finns det som regel ett eller flera kärnområden (1–20 ha) med relativt tät flerskiktad granskog.”</w:t>
      </w:r>
      <w:r>
        <w:t xml:space="preserve"> Vidare att: </w:t>
      </w:r>
      <w:r>
        <w:rPr>
          <w:i/>
        </w:rPr>
        <w:t>“Arten missgynnas när flerskiktad skog omförs till enskiktade bestånd. Även skogsskötsel med återkommande röjning och hård gallring är starkt negativt. Lavskrikan har relativt stora hemområden och försvinner när den äldre skogen fragmenteras, särskilt allvarligt är när kärnområdena avverkas.”</w:t>
      </w:r>
      <w:r>
        <w:t xml:space="preserve"> (Skogsstyrelsen 2016).</w:t>
      </w:r>
    </w:p>
    <w:p>
      <w:r>
        <w:t>Populationen har minskat med 20–40 % de senaste 30 åren, men i Svensk Fågeltaxerings standardrutter varierar antalet kraftigt och ingen minskning kan skönjas de senaste 18 åren. Arten försvinner successivt framför allt vid dess utbredningsgränser (SLU Artdatabanken, 2022).</w:t>
      </w:r>
    </w:p>
    <w:p>
      <w:pPr>
        <w:pStyle w:val="Heading2"/>
      </w:pPr>
      <w:r>
        <w:t>Referenser – lavskrika</w:t>
      </w:r>
    </w:p>
    <w:p>
      <w:r>
        <w:t xml:space="preserve">Skogsstyrelsen, 2016. </w:t>
      </w:r>
      <w:r>
        <w:rPr>
          <w:i/>
        </w:rPr>
        <w:t xml:space="preserve">Vägledning för hänsyn till fåglar – lavskrika. </w:t>
      </w:r>
      <w:r>
        <w:t>https://www.skogsstyrelsen.se/globalassets/lag-och-tillsyn/artskydd/vagledningar-for-hansyn-till-faglar/lavskrika-vagledning-hansyn.pdf</w:t>
      </w:r>
    </w:p>
    <w:p>
      <w:r>
        <w:t xml:space="preserve">SLU Artdatabanken, 2021. </w:t>
      </w:r>
      <w:r>
        <w:rPr>
          <w:i/>
        </w:rPr>
        <w:t xml:space="preserve">Artfaktablad. Naturvård – artfakta. </w:t>
      </w:r>
      <w:r>
        <w:t>SLU Artdatabanken, Uppsala</w:t>
      </w:r>
    </w:p>
    <w:p>
      <w:pPr>
        <w:pStyle w:val="Heading1"/>
      </w:pPr>
      <w:r>
        <w:t>Lunglav – ekologi samt krav på livsmiljön</w:t>
      </w:r>
    </w:p>
    <w:p>
      <w:r>
        <w:t>Lunglav (NT) är en av vårt lands främsta signalarter som överallt indikerar gamla lövträd, skogsbestånd med höga naturvärden och ekosystem med lång skoglig kontinuitet. Lokalt kan förekomsten vara mycket riklig men den hittas nästan enbart i gamla och ej slutavverkade skogar. Artens samtliga förekomster bör uppmärksammas från naturvårdssynpunkt, då många lokaler även hyser andra ovanliga och rödlistade arter. Rikliga förekomster bör skyddas med biotopskydd, frivilliga avsättningar eller reservat (SLU Artdatabanken, 2024; Nitare &amp; Skogsstyrelsen, 2019).</w:t>
      </w:r>
    </w:p>
    <w:p>
      <w:r>
        <w:t xml:space="preserve">På lunglav kan man sällsynt finna små svarta skivlika bildningar som liknar apothecier men som är en parasitisk svamp, Lunglavsknapp </w:t>
      </w:r>
      <w:r>
        <w:rPr>
          <w:i/>
        </w:rPr>
        <w:t>Plectocarpon lichenum</w:t>
      </w:r>
      <w:r>
        <w:t xml:space="preserve"> (VU). Det finns ytterligare ett antal parasiter vilka bara förekommer på lunglav: Skrovelmössing </w:t>
      </w:r>
      <w:r>
        <w:rPr>
          <w:i/>
        </w:rPr>
        <w:t>Dactylospora lobariella</w:t>
      </w:r>
      <w:r>
        <w:t xml:space="preserve"> (rödlistad som Kunskapsbrist DD) och Lunglavshårprick </w:t>
      </w:r>
      <w:r>
        <w:rPr>
          <w:i/>
        </w:rPr>
        <w:t>Niesslia lobariae</w:t>
      </w:r>
      <w:r>
        <w:t xml:space="preserve"> (rödlistad som Kunskapsbrist DD). Skrovelmössing (DD) har små svarta apothecier och bruna, 1-septerade sporer och Lunglavshårprick (DD) har brunhåriga perithecier och färglösa, 1-septerade sporer. Nyligen har ytterligare två lavparasiter påträffats i Sverige som växer på lunglav: </w:t>
      </w:r>
      <w:r>
        <w:rPr>
          <w:i/>
        </w:rPr>
        <w:t>Calycina alstrupii</w:t>
      </w:r>
      <w:r>
        <w:t xml:space="preserve"> (NA) och </w:t>
      </w:r>
      <w:r>
        <w:rPr>
          <w:i/>
        </w:rPr>
        <w:t>Chalara lobariae</w:t>
      </w:r>
      <w:r>
        <w:t xml:space="preserve"> (NA) (SLU Artdatabanken, 2025; SLU Artdatabanken, 2024; Nitare &amp; Skogsstyrelsen, 2019).</w:t>
      </w:r>
    </w:p>
    <w:p>
      <w:pPr>
        <w:pStyle w:val="Heading2"/>
      </w:pPr>
      <w:r>
        <w:t>Referenser – lunglav</w:t>
      </w:r>
    </w:p>
    <w:p>
      <w:r>
        <w:t xml:space="preserve">Nitare, J. och Skogsstyrelsen, 2019. </w:t>
      </w:r>
      <w:r>
        <w:rPr>
          <w:i/>
        </w:rPr>
        <w:t xml:space="preserve">Skyddsvärd skog – Naturvårdsarter och andra kriterier för naturvärdesbedömning. </w:t>
      </w:r>
      <w:r>
        <w:t>Skogsstyrelsen.</w:t>
      </w:r>
    </w:p>
    <w:p>
      <w:r>
        <w:t xml:space="preserve">SLU Artdatabanken, 2024. </w:t>
      </w:r>
      <w:r>
        <w:rPr>
          <w:i/>
        </w:rPr>
        <w:t xml:space="preserve">Artfaktablad. Naturvård – artfakta. </w:t>
      </w:r>
      <w:r>
        <w:t>SLU Artdatabanken, Uppsala.</w:t>
      </w:r>
    </w:p>
    <w:p>
      <w:r>
        <w:t xml:space="preserve">SLU Artdatabanken, 2025. </w:t>
      </w:r>
      <w:r>
        <w:rPr>
          <w:i/>
        </w:rPr>
        <w:t xml:space="preserve">Över 20 nya lavparasiter för Sverige. </w:t>
      </w:r>
      <w:r>
        <w:t>https://www.slu.se/artdatabanken/arter-och-natur/artiklar/over-20-nya-lavparasiter-for-sverige/</w:t>
      </w:r>
    </w:p>
    <w:p>
      <w:pPr>
        <w:pStyle w:val="Heading1"/>
      </w:pPr>
      <w:r>
        <w:t>Spillkråka – ekologi samt krav på livsmiljön</w:t>
      </w:r>
    </w:p>
    <w:p>
      <w:r>
        <w:t>Spillkråka (NT) är rödlistad som nära hotad, fridlyst enligt §4 Artskyddsförordningen och ingår i bilaga 1 i EU:s fågeldirektiv. Spillkråka lever i både barr- och blandskog liksom i ren lövskog. De tätaste populationerna tenderar att finnas i äldre, variationsrik blandskog med gott om död ved och gamla träd.</w:t>
      </w:r>
    </w:p>
    <w:p>
      <w:r>
        <w:t>Varje par utnyttjar 400–1000 hektar skog beroende på skogens kvalitet. En minskning av populationen pågår på grund av minskad tillgång på lämpliga bo- och födoträd och minskad födotillgång. Spillkråkans minskningstakt har uppgått till 19 (24–10) % under de senaste 15 åren. Minskningstakten för den svenska populationen bedöms vara nära gränsvärdet för Sårbar (VU) (A2bc). Skogsbruk med korta omloppstider och täta, homogena ungskogar utgör det största hotet (Artdatabanken 2023).</w:t>
      </w:r>
    </w:p>
    <w:p>
      <w:pPr>
        <w:pStyle w:val="Heading2"/>
      </w:pPr>
      <w:r>
        <w:t>Referenser – spillkråka</w:t>
      </w:r>
    </w:p>
    <w:p>
      <w:r>
        <w:t xml:space="preserve">SLU Artdatabanken, 2021. </w:t>
      </w:r>
      <w:r>
        <w:rPr>
          <w:i/>
        </w:rPr>
        <w:t xml:space="preserve">Artfaktablad. Naturvård – artfakta. </w:t>
      </w:r>
      <w:r>
        <w:t>SLU Artdatabanken, Uppsala</w:t>
      </w:r>
    </w:p>
    <w:p>
      <w:pPr>
        <w:pStyle w:val="Heading1"/>
      </w:pPr>
      <w:r>
        <w:t>Tallbit – ekologi samt krav på livsmiljön</w:t>
      </w:r>
    </w:p>
    <w:p>
      <w:r>
        <w:t>Tallbit (VU, §4) är rödlistad som sårbar och prioriterad art enligt Skogsvårdslagen. Arten har minskat med 25–75 % de senaste 30 åren och minskningstakten överstiger gränsvärdet för Sårbar (VU) enligt A-kriteriet. (A4bc). Den förekommer från norra Dalarna och norrut genom de inre delarna av Norrland, norrut till norra Norrbotten. Området med regelbunden förekomst har kraftigt reducerats och 90 % av populationen förekommer numera i Norrbottens län (SLU Artdatabanken, 2024).</w:t>
      </w:r>
    </w:p>
    <w:p>
      <w:r>
        <w:t>Tallbit ställer höga krav på sin livsmiljö och permanent förekomst av häckande tallbit finns huvudsakligen i gammal grandominerad barrblandskog av naturskogskaraktär med inslag av björk, gråal, rönn och viden, påfallande ofta i områden med inslag av myrmark och små vattendrag. Reviren är relativt stora (12–75 hektar enligt befintliga studier) och arten saknas i områden med storskaligt skogsbruk med hög andel stora hyggen och täta ungskogar. Områden med dokumenterad permanent förekomst har ofta så stora naturvärden att skogsbruk är olämpligt (SLU Artdatabanken, 2024; Skogsstyrelsen, 2016).</w:t>
      </w:r>
    </w:p>
    <w:p>
      <w:r>
        <w:t>Arealerna grandominerad naturskog har i stora delar av landet blivit allt för små, och bestånden är dessutom i många fall allt för isolerade, för att kunna upprätthålla stabila populationer. Omdaningen av naturskogsartad skog till produktionsskog medför en förlust av viktiga häckningsmiljöer, något som förstärks av ökad fragmentering av kvarvarande naturskogsartade bestånd. Områden med dokumenterad permanent förekomst i naturskogsmiljöer kan ha så stora naturvärden att de bör bli föremål för områdesskydd eller naturvårdsavsättningar (Skogsstyrelsen, 2016).</w:t>
      </w:r>
    </w:p>
    <w:p>
      <w:r>
        <w:t>Tallbiten flyttar normalt endast begränsade sträckor inom norra barrskogsregionen och de flesta vintrar ses den endast i mycket liten omfattning utanför häckningsområdet. Med långa och oregelbundna mellanrum uppträder tallbiten invasionsaktigt och i samband med sådana rörelser kan den observeras i stora delar av Sverige (SLU Artdatabanken, 2024).</w:t>
      </w:r>
    </w:p>
    <w:p>
      <w:pPr>
        <w:pStyle w:val="Heading2"/>
      </w:pPr>
      <w:r>
        <w:t>Referenser – tallbit</w:t>
      </w:r>
    </w:p>
    <w:p>
      <w:r>
        <w:t xml:space="preserve">Skogsstyrelsen, 2016. </w:t>
      </w:r>
      <w:r>
        <w:rPr>
          <w:i/>
        </w:rPr>
        <w:t xml:space="preserve">Vägledning för hänsyn till tallbit. </w:t>
      </w:r>
      <w:r>
        <w:t>Vägledningar och kunskapsstöd artskydd - Skogsstyrelsen</w:t>
      </w:r>
    </w:p>
    <w:p>
      <w:r>
        <w:t>SLU Artdatabanken, 2024.</w:t>
      </w:r>
      <w:r>
        <w:rPr>
          <w:i/>
        </w:rPr>
        <w:t xml:space="preserve"> Artfakta: tallbit (Pinicola enucleator). </w:t>
      </w:r>
      <w:r>
        <w:t>https://artfakta.se/taxa/102125</w:t>
      </w:r>
    </w:p>
    <w:p>
      <w:pPr>
        <w:pStyle w:val="Heading1"/>
      </w:pPr>
      <w:r>
        <w:t>Talltita – ekologi samt krav på livsmiljön</w:t>
      </w:r>
    </w:p>
    <w:p>
      <w:r>
        <w:t>Talltita är rödlistad som NT, fridlyst och prioriterad art i Skogsvårdslagen. Den omfattas av EU:s fågeldirektiv. Arten har minskat kraftigt de senaste 30 åren och minskningstakten innevarande 10-årsperiod beräknas till 20 (10–30) % (SLU Artdatabanken, 2022).</w:t>
      </w:r>
    </w:p>
    <w:p>
      <w:r>
        <w:t>Talltita föredrar större sammanhängande barrskogar, och finns såväl i tallskog som granskog och i lövblandad barrskog. Skogens struktur är viktig och ska helst vara flerskiktad med riklig underväxt av mindre granar, björk och andra lövträd och buskar. Tillgång på murknande högstubbar är särskilt viktig, eftersom talltitan helst själv hackar ut sitt bohål (SLU Artdatabanken, 2022).</w:t>
      </w:r>
    </w:p>
    <w:p>
      <w:r>
        <w:t>Det finns flera studier som visar att talltita är känslig för gallring och inte överlever när dess livsmiljö kalavverkas (Eggers and Low, 2014; Griesser et al., 2007; Klein, 2020). Talltitans revir är förhållandevis stora, 10–20 hektar och arten missgynnas när skogen fragmenteras. Kalavverkning av större delar av reviret innebär att det överges (Artdatabanken, 2021).</w:t>
      </w:r>
    </w:p>
    <w:p>
      <w:r>
        <w:t>Talltitan är synnerligen trogen sitt revir så länge paret lever och biotopen förblir intakt. Paret stannar i sitt revir året om. En förlust av ett revir har därför en stor inverkan på den lokala populationen och trakthyggesbruket anses vara orsak till den svenska populationens kraftiga minskning. Talltiteparets revirtrohet innebär att närhelst under året man observerar en adult talltita så ingår denna plats i reviret (Siffczyk et al., 2003; Ekman, 1979).</w:t>
      </w:r>
    </w:p>
    <w:p>
      <w:pPr>
        <w:pStyle w:val="Heading2"/>
      </w:pPr>
      <w:r>
        <w:t>Referenser – talltita</w:t>
      </w:r>
    </w:p>
    <w:p>
      <w:r>
        <w:t xml:space="preserve">Eggers, S., Low, M., 2014. </w:t>
      </w:r>
      <w:r>
        <w:rPr>
          <w:i/>
        </w:rPr>
        <w:t xml:space="preserve">Differential demographic responses of sympatric Parids to vegetation management in boreal forest. </w:t>
      </w:r>
      <w:r>
        <w:t>For. Ecol. Manage. 319, 169–175.</w:t>
      </w:r>
    </w:p>
    <w:p>
      <w:r>
        <w:t xml:space="preserve">Ekman, J., 1979. </w:t>
      </w:r>
      <w:r>
        <w:rPr>
          <w:i/>
        </w:rPr>
        <w:t xml:space="preserve">Coherence, composition and territories of winter social groups of the Willow Tit Parus montanus and the Crested Tit P. cristatus. </w:t>
      </w:r>
      <w:r>
        <w:t>Ornis Scandinavica, 10, pp 56–68</w:t>
      </w:r>
    </w:p>
    <w:p>
      <w:r>
        <w:t xml:space="preserve">Griesser, M., Nystrand, M., Eggers, S., Ekman, J., 2007. </w:t>
      </w:r>
      <w:r>
        <w:rPr>
          <w:i/>
        </w:rPr>
        <w:t xml:space="preserve">Impact of forestry practices on fitness correlates and population productivity in an open-nesting bird species. </w:t>
      </w:r>
      <w:r>
        <w:t>Conserv. Biol. 21, 767–774. https://doi.org/10.1111/j.1523- 1739.2007.00675.x</w:t>
      </w:r>
    </w:p>
    <w:p>
      <w:r>
        <w:t xml:space="preserve">Klein, J., 2020. </w:t>
      </w:r>
      <w:r>
        <w:rPr>
          <w:i/>
        </w:rPr>
        <w:t xml:space="preserve">The forgotten forest – On thinning, retention, and biodiversity in the boreal forest. </w:t>
      </w:r>
      <w:r>
        <w:t>Doctoral Thesis No. 2020:50</w:t>
      </w:r>
    </w:p>
    <w:p>
      <w:r>
        <w:t xml:space="preserve">Siffczyk, C., Brotons, L., Kangas, K., Orell, M., 2003. </w:t>
      </w:r>
      <w:r>
        <w:rPr>
          <w:i/>
        </w:rPr>
        <w:t xml:space="preserve">Home range size of willow tits. </w:t>
      </w:r>
      <w:r>
        <w:t>Oecologica, 136, 635–642 (2003)</w:t>
      </w:r>
    </w:p>
    <w:p>
      <w:r>
        <w:t xml:space="preserve">SLU Artdatabanken, 2021. </w:t>
      </w:r>
      <w:r>
        <w:rPr>
          <w:i/>
        </w:rPr>
        <w:t xml:space="preserve">Artfaktablad. Naturvård – artfakta. </w:t>
      </w:r>
      <w:r>
        <w:t>SLU Artdatabanken, Uppsala</w:t>
      </w:r>
    </w:p>
    <w:p>
      <w:pPr>
        <w:pStyle w:val="Heading1"/>
      </w:pPr>
      <w:r>
        <w:t>Tjäder – ekologi samt krav på livsmiljön</w:t>
      </w:r>
    </w:p>
    <w:p>
      <w:r>
        <w:t>Tjäder (§4) är en utpräglad skogsfågel knuten till större sammanhängande barrskogsområden. Tupparna och hönorna utnyttjar till viss del olika miljöer, och habitatvalet varierar dessutom mellan olika delar av året. För att det ska finnas livskraftiga tjäderbestånd krävs funktionella skogslandskap med en blandning av uppvuxen, gles och luckig skog, täta sumpskogar, myrar och andra små våtmarker (Skogsstyrelsen, 2019).</w:t>
      </w:r>
    </w:p>
    <w:p>
      <w:r>
        <w:t>Arten försvinner när skogen fragmenteras och den sammanlagda arealen hyggen och andra öppna områden blir för stor. Ett småskaligt och försiktigt virkesuttag genom hyggesfria metoder kan i vissa fall vara möjligt i området inom 200 m från lekcentrum. Längre ut från lekcentrum, inom 200–500 m bör den avverkade ytan inte överskrida 1 hektar för att undvika alltför stora och snabba förändringar (Skogsstyrelsen, 2019).</w:t>
      </w:r>
    </w:p>
    <w:p>
      <w:pPr>
        <w:pStyle w:val="Heading2"/>
      </w:pPr>
      <w:r>
        <w:t>Referenser – tjäder</w:t>
      </w:r>
    </w:p>
    <w:p>
      <w:r>
        <w:t xml:space="preserve">Skogsstyrelsen, 2019. </w:t>
      </w:r>
      <w:r>
        <w:rPr>
          <w:i/>
        </w:rPr>
        <w:t xml:space="preserve">Vägledning för hänsyn till fåglar – tjäder. </w:t>
      </w:r>
      <w:r>
        <w:t>https://www.skogsstyrelsen.se/globalassets/lag-och-tillsyn/artskydd/vagledningar-for-hansyn-till-faglar/tjader-vagledning-hansyn2.pdf</w:t>
      </w:r>
    </w:p>
    <w:p>
      <w:pPr>
        <w:pStyle w:val="Heading1"/>
      </w:pPr>
      <w:r>
        <w:t>Tretåig hackspett – ekologi samt krav på livsmiljön</w:t>
      </w:r>
    </w:p>
    <w:p>
      <w:r>
        <w:t xml:space="preserve">Tretåig hackspett (NT) är fridlyst enligt §4 Artskyddsförordningen och finns med som prioriterad art i Skogsstyrelsen vägledning för skogsbruket (bilaga 4 till SVL). I vägledningen står bland annat att: </w:t>
      </w:r>
      <w:r>
        <w:rPr>
          <w:i/>
        </w:rPr>
        <w:t xml:space="preserve">“Tretåig hackspett har stora arealkrav och höga krav på sin livsmiljö. Omdaningen av naturskogar till kulturskogar medför en förlust av viktiga miljöer, något som förstärks av ökad fragmentering till följd av avverkningar.” </w:t>
      </w:r>
      <w:r>
        <w:t xml:space="preserve">Vidare att: </w:t>
      </w:r>
      <w:r>
        <w:rPr>
          <w:i/>
        </w:rPr>
        <w:t>“Områden med dokumenterad permanent förekomst i naturskogsmiljöer har vanligen så stora naturvärden att skogsbruk är olämpligt”.</w:t>
      </w:r>
    </w:p>
    <w:p>
      <w:r>
        <w:t>Tretåig hackspett är beroende av större sammanhängande naturskogar med kontinuerlig tillgång och nybildning av död ved och fragmentering av livsmiljöerna utgör ett stort hot mot arten (se exempelvis Stachura-Skierczynska et al., 2009; Wesolowski et al., 2005; Butler et al., 2004; Pakkala et al., 2002; Amcoff et al., 1996; Virkkala, 1991). Det finns studier som visar att naturskogens självgallringsprocess som den tretåiga hackspetten är beroende av, inte kan ersättas med efterlämnad hänsyn i skogsbruket (Imbeau &amp; Desrochers, 2002).</w:t>
      </w:r>
    </w:p>
    <w:p>
      <w:r>
        <w:t>Permanenta revir av tretåig hackspett karaktäriseras ofta av artens typiska ringformigt ordnade hackmärken på framför allt gamla granar. För att säkerställa att inte revir av tretåig hackspett drabbas av avverkningsplanerna bör en inventering göras i området både under häckningstid och under vintern, då arten utnyttjar betydligt större områden än under sommarens häckningsrevir. Storleken på häckningsreviret varierar med skogstypen, förekomsten av död ved och graden av fragmentering, men är i allmänhet i storleksordningen 25–100 hektar.</w:t>
      </w:r>
    </w:p>
    <w:p>
      <w:r>
        <w:t>Förutom fridlysning enligt §4 Artskyddsförordningen är tretåig hackspett även förtecknad i EU:s fågeldirektiv bilaga 1. Den ingår också i Natura 2000 och är förtecknad i Bernkonventionen bilaga II (strikt skyddade djurarter).</w:t>
      </w:r>
    </w:p>
    <w:p>
      <w:pPr>
        <w:pStyle w:val="Heading2"/>
      </w:pPr>
      <w:r>
        <w:t>Referenser – tretåig hackspett</w:t>
      </w:r>
    </w:p>
    <w:p>
      <w:r>
        <w:t xml:space="preserve">Amcoff, M. &amp; Eriksson, P. 1996. </w:t>
      </w:r>
      <w:r>
        <w:rPr>
          <w:i/>
        </w:rPr>
        <w:t xml:space="preserve">Förekomst av tretåig hackspett Picoides tridactylus på bestånds- och landskapsnivå. </w:t>
      </w:r>
      <w:r>
        <w:t>Ornis Svecica 6: 107–119</w:t>
      </w:r>
    </w:p>
    <w:p>
      <w:r>
        <w:t xml:space="preserve">Butler, R., Angelstam, P., Ekelund, P. &amp; Schlaeffer, R. 2004. </w:t>
      </w:r>
      <w:r>
        <w:rPr>
          <w:i/>
        </w:rPr>
        <w:t xml:space="preserve">Dead wood threshold values for the three-toed woodpecker presence in boreal and sub-Alpine forest. </w:t>
      </w:r>
      <w:r>
        <w:t>Biological conservation 119(3): 305–318</w:t>
      </w:r>
    </w:p>
    <w:p>
      <w:r>
        <w:t xml:space="preserve">Imbeau, L. &amp; Desrochers, A. 2002. </w:t>
      </w:r>
      <w:r>
        <w:rPr>
          <w:i/>
        </w:rPr>
        <w:t xml:space="preserve">Foraging Ecology and Use of Drumming Trees by Three-Toed Woodpeckers. </w:t>
      </w:r>
      <w:r>
        <w:t>The Journal of Wildlife Management. Vol. 66, No. 1 (Jan., 2002), pp. 222–231.</w:t>
      </w:r>
    </w:p>
    <w:p>
      <w:r>
        <w:t xml:space="preserve">Pakkala, T., Hanski, I. &amp; Tomppo, E. 2002. </w:t>
      </w:r>
      <w:r>
        <w:rPr>
          <w:i/>
        </w:rPr>
        <w:t xml:space="preserve">Spatial ecology of the three-toed woodpecker in managed forest landscapes. </w:t>
      </w:r>
      <w:r>
        <w:t>Silva Fennica 36(1): 279–288.</w:t>
      </w:r>
    </w:p>
    <w:p>
      <w:r>
        <w:t xml:space="preserve">Skogsstyrelsen, 2016. </w:t>
      </w:r>
      <w:r>
        <w:rPr>
          <w:i/>
        </w:rPr>
        <w:t xml:space="preserve">Vägledning för hänsyn till fåglar – Tretåig hackspett. </w:t>
      </w:r>
      <w:r>
        <w:t>www.skogsstyrelsen.se</w:t>
      </w:r>
    </w:p>
    <w:p>
      <w:r>
        <w:t xml:space="preserve">Stachura-Skierczynska, K., Tumiel, T. &amp; Skierczynski, M. 2009. </w:t>
      </w:r>
      <w:r>
        <w:rPr>
          <w:i/>
        </w:rPr>
        <w:t xml:space="preserve">Habitat prediction model for three-toed woodpecker and its implications for the conservation of biologically valuable forests. </w:t>
      </w:r>
      <w:r>
        <w:t>Forest Ecology and Management 258(5): 697–703.</w:t>
      </w:r>
    </w:p>
    <w:p>
      <w:r>
        <w:t xml:space="preserve">Virkkala, R. 1991. </w:t>
      </w:r>
      <w:r>
        <w:rPr>
          <w:i/>
        </w:rPr>
        <w:t xml:space="preserve">Population trends of forest birds in a Finnish Lapland landscape of large habitat blocks – Consequences of stochastic environmental variation or regional habitat alteration. </w:t>
      </w:r>
      <w:r>
        <w:t>Biological conservation 56(2): 223–240</w:t>
      </w:r>
    </w:p>
    <w:p>
      <w:r>
        <w:t xml:space="preserve">Wesolowski, T., Czeszczewik, D. &amp; Rowinski, P. 2005. </w:t>
      </w:r>
      <w:r>
        <w:rPr>
          <w:i/>
        </w:rPr>
        <w:t xml:space="preserve">Effects of forest management on Three-toed Woodpecker Picoides tridactylus distribution in the Bialowieza Forest (NE Poland): conservation implications. </w:t>
      </w:r>
      <w:r>
        <w:t>Acta Ornithologica 40(1): 53–60.</w:t>
      </w:r>
    </w:p>
    <w:p>
      <w:pPr>
        <w:pStyle w:val="Heading1"/>
      </w:pPr>
      <w:r>
        <w:t>Ulltickeporing – ekologi samt krav på livsmiljön</w:t>
      </w:r>
    </w:p>
    <w:p>
      <w:r>
        <w:t xml:space="preserve">Ulltickeporing </w:t>
      </w:r>
      <w:r>
        <w:rPr>
          <w:i/>
        </w:rPr>
        <w:t>Skeletocutis brevispora</w:t>
      </w:r>
      <w:r>
        <w:t xml:space="preserve"> (VU), rödlistad som sårbar, växer på ullticka (NT) i naturskogsartade granskogar. Avverkning av naturskogslika miljöer och av grova granar där ulltickeporing förekommer är ett direkt hot mot artens fortlevnad Alla skogliga åtgärder som innebär att lågor och döda eller skadade träd tas bort missgynnar arten. På sikt är minskad tillgång till lämpligt substrat och krympande areal av naturskog ett hot, framförallt råder brist på grov ved som lågor i sena nedbrytningsstadier. Ytterligare fragmentering av skogslandskapet minskar artens möjligheter till spridning. Gamla granskogar som hyser arten undantas helt från skogsbruk (SLU Artdatabanken, 2024).</w:t>
      </w:r>
    </w:p>
    <w:p>
      <w:r>
        <w:t xml:space="preserve">Ulltickeporingen har nyligen delats upp i tre olika arter: </w:t>
      </w:r>
      <w:r>
        <w:rPr>
          <w:i/>
        </w:rPr>
        <w:t xml:space="preserve">Skeletocutis brevispora </w:t>
      </w:r>
      <w:r>
        <w:t>(ulltickeporing)</w:t>
      </w:r>
      <w:r>
        <w:rPr>
          <w:i/>
        </w:rPr>
        <w:t>, Skeletocutis delicata och Skeletocutis exilis</w:t>
      </w:r>
      <w:r>
        <w:t xml:space="preserve"> (Miettinen &amp; Niemelä, 2018). Skeletocutis delicata och Skeletocutis exilis står för närvarande (2020) som ej bedömda i rödlistan.</w:t>
      </w:r>
    </w:p>
    <w:p>
      <w:pPr>
        <w:pStyle w:val="Heading2"/>
      </w:pPr>
      <w:r>
        <w:t>Referenser – ulltickeporing</w:t>
      </w:r>
    </w:p>
    <w:p>
      <w:r>
        <w:t xml:space="preserve">Miettinen, O. &amp; Niemelä, T., 2018. </w:t>
      </w:r>
      <w:r>
        <w:rPr>
          <w:i/>
        </w:rPr>
        <w:t>Two new temperate polypore species of Skeletocutis (Polyporales, Basidiomycota)</w:t>
      </w:r>
      <w:r>
        <w:t>. Ann. Bot. Fennici 55: 195–206.</w:t>
      </w:r>
    </w:p>
    <w:p>
      <w:r>
        <w:t xml:space="preserve">SLU Artdatabanken, 2024. </w:t>
      </w:r>
      <w:r>
        <w:rPr>
          <w:i/>
        </w:rPr>
        <w:t xml:space="preserve">Artfaktablad. Naturvård – artfakta. </w:t>
      </w:r>
      <w:r>
        <w:t>SLU Artdatabanken, Uppsala</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2025-08-02</w:t>
      <w:br/>
      <w:br/>
    </w:r>
    <w:r>
      <w:t>Till: Skogsstyrelsen</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sv-S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lang w:val="sv-SE" w:eastAsia="en-US" w:bidi="ar-SA"/>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lang w:val="sv-SE" w:eastAsia="en-US" w:bidi="ar-SA"/>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lang w:val="sv-SE" w:eastAsia="en-US" w:bidi="ar-SA"/>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lang w:val="sv-SE" w:eastAsia="en-US" w:bidi="ar-SA"/>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lang w:val="sv-SE" w:eastAsia="en-US" w:bidi="ar-SA"/>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lang w:val="sv-SE" w:eastAsia="en-US" w:bidi="ar-SA"/>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lang w:val="sv-SE" w:eastAsia="en-US" w:bidi="ar-SA"/>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lang w:val="sv-SE" w:eastAsia="en-US" w:bidi="ar-SA"/>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lang w:val="sv-SE" w:eastAsia="en-US" w:bidi="ar-SA"/>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lang w:val="sv-SE" w:eastAsia="en-US" w:bidi="ar-SA"/>
    </w:rPr>
  </w:style>
  <w:style w:type="character" w:default="1" w:styleId="DefaultParagraphFont">
    <w:name w:val="Default Paragraph Font"/>
    <w:uiPriority w:val="1"/>
    <w:semiHidden/>
    <w:unhideWhenUsed/>
    <w:rPr>
      <w:lang w:val="sv-SE" w:eastAsia="en-US" w:bidi="ar-SA"/>
    </w:rPr>
  </w:style>
  <w:style w:type="table" w:default="1" w:styleId="TableNormal">
    <w:name w:val="Normal Table"/>
    <w:uiPriority w:val="99"/>
    <w:semiHidden/>
    <w:unhideWhenUsed/>
    <w:rPr>
      <w:lang w:val="sv-SE" w:eastAsia="en-US" w:bidi="ar-SA"/>
    </w:rPr>
    <w:tblPr>
      <w:tblInd w:w="0" w:type="dxa"/>
      <w:tblCellMar>
        <w:top w:w="0" w:type="dxa"/>
        <w:left w:w="108" w:type="dxa"/>
        <w:bottom w:w="0" w:type="dxa"/>
        <w:right w:w="108" w:type="dxa"/>
      </w:tblCellMar>
    </w:tblPr>
  </w:style>
  <w:style w:type="numbering" w:default="1" w:styleId="NoList">
    <w:name w:val="No List"/>
    <w:uiPriority w:val="99"/>
    <w:semiHidden/>
    <w:unhideWhenUsed/>
    <w:rPr>
      <w:lang w:val="sv-SE" w:eastAsia="en-US" w:bidi="ar-SA"/>
    </w:rPr>
  </w:style>
  <w:style w:type="paragraph" w:styleId="Header">
    <w:name w:val="header"/>
    <w:basedOn w:val="Normal"/>
    <w:link w:val="HeaderChar"/>
    <w:uiPriority w:val="99"/>
    <w:unhideWhenUsed/>
    <w:rsid w:val="00E618BF"/>
    <w:pPr>
      <w:tabs>
        <w:tab w:val="center" w:pos="4680"/>
        <w:tab w:val="right" w:pos="9360"/>
      </w:tabs>
      <w:spacing w:after="0" w:line="240" w:lineRule="auto"/>
    </w:pPr>
    <w:rPr>
      <w:lang w:val="sv-SE" w:eastAsia="en-US" w:bidi="ar-SA"/>
    </w:rPr>
  </w:style>
  <w:style w:type="character" w:customStyle="1" w:styleId="HeaderChar">
    <w:name w:val="Header Char"/>
    <w:basedOn w:val="DefaultParagraphFont"/>
    <w:link w:val="Header"/>
    <w:uiPriority w:val="99"/>
    <w:rsid w:val="00E618BF"/>
    <w:rPr>
      <w:lang w:val="sv-SE" w:eastAsia="en-US" w:bidi="ar-SA"/>
    </w:rPr>
  </w:style>
  <w:style w:type="paragraph" w:styleId="Footer">
    <w:name w:val="footer"/>
    <w:basedOn w:val="Normal"/>
    <w:link w:val="FooterChar"/>
    <w:uiPriority w:val="99"/>
    <w:unhideWhenUsed/>
    <w:rsid w:val="00E618BF"/>
    <w:pPr>
      <w:tabs>
        <w:tab w:val="center" w:pos="4680"/>
        <w:tab w:val="right" w:pos="9360"/>
      </w:tabs>
      <w:spacing w:after="0" w:line="240" w:lineRule="auto"/>
    </w:pPr>
    <w:rPr>
      <w:lang w:val="sv-SE" w:eastAsia="en-US" w:bidi="ar-SA"/>
    </w:rPr>
  </w:style>
  <w:style w:type="character" w:customStyle="1" w:styleId="FooterChar">
    <w:name w:val="Footer Char"/>
    <w:basedOn w:val="DefaultParagraphFont"/>
    <w:link w:val="Footer"/>
    <w:uiPriority w:val="99"/>
    <w:rsid w:val="00E618BF"/>
    <w:rPr>
      <w:lang w:val="sv-SE" w:eastAsia="en-US" w:bidi="ar-SA"/>
    </w:rPr>
  </w:style>
  <w:style w:type="paragraph" w:styleId="NoSpacing">
    <w:name w:val="No Spacing"/>
    <w:uiPriority w:val="1"/>
    <w:qFormat/>
    <w:rsid w:val="00FC693F"/>
    <w:pPr>
      <w:spacing w:after="0" w:line="240" w:lineRule="auto"/>
    </w:pPr>
    <w:rPr>
      <w:lang w:val="sv-SE" w:eastAsia="en-US" w:bidi="ar-SA"/>
    </w:r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lang w:val="sv-SE" w:eastAsia="en-US" w:bidi="ar-SA"/>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lang w:val="sv-SE" w:eastAsia="en-US" w:bidi="ar-SA"/>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lang w:val="sv-SE" w:eastAsia="en-US" w:bidi="ar-SA"/>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lang w:val="sv-SE" w:eastAsia="en-US" w:bidi="ar-SA"/>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lang w:val="sv-SE" w:eastAsia="en-US" w:bidi="ar-SA"/>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lang w:val="sv-SE" w:eastAsia="en-US" w:bidi="ar-SA"/>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lang w:val="sv-SE" w:eastAsia="en-US" w:bidi="ar-SA"/>
    </w:rPr>
  </w:style>
  <w:style w:type="paragraph" w:styleId="ListParagraph">
    <w:name w:val="List Paragraph"/>
    <w:basedOn w:val="Normal"/>
    <w:uiPriority w:val="34"/>
    <w:qFormat/>
    <w:rsid w:val="00FC693F"/>
    <w:pPr>
      <w:ind w:left="720"/>
      <w:contextualSpacing/>
    </w:pPr>
    <w:rPr>
      <w:lang w:val="sv-SE" w:eastAsia="en-US" w:bidi="ar-SA"/>
    </w:rPr>
  </w:style>
  <w:style w:type="paragraph" w:styleId="BodyText">
    <w:name w:val="Body Text"/>
    <w:basedOn w:val="Normal"/>
    <w:link w:val="BodyTextChar"/>
    <w:uiPriority w:val="99"/>
    <w:unhideWhenUsed/>
    <w:rsid w:val="00AA1D8D"/>
    <w:pPr>
      <w:spacing w:after="120"/>
    </w:pPr>
    <w:rPr>
      <w:lang w:val="sv-SE" w:eastAsia="en-US" w:bidi="ar-SA"/>
    </w:rPr>
  </w:style>
  <w:style w:type="character" w:customStyle="1" w:styleId="BodyTextChar">
    <w:name w:val="Body Text Char"/>
    <w:basedOn w:val="DefaultParagraphFont"/>
    <w:link w:val="BodyText"/>
    <w:uiPriority w:val="99"/>
    <w:rsid w:val="00AA1D8D"/>
    <w:rPr>
      <w:lang w:val="sv-SE" w:eastAsia="en-US" w:bidi="ar-SA"/>
    </w:rPr>
  </w:style>
  <w:style w:type="paragraph" w:styleId="BodyText2">
    <w:name w:val="Body Text 2"/>
    <w:basedOn w:val="Normal"/>
    <w:link w:val="BodyText2Char"/>
    <w:uiPriority w:val="99"/>
    <w:unhideWhenUsed/>
    <w:rsid w:val="00AA1D8D"/>
    <w:pPr>
      <w:spacing w:after="120" w:line="480" w:lineRule="auto"/>
    </w:pPr>
    <w:rPr>
      <w:lang w:val="sv-SE" w:eastAsia="en-US" w:bidi="ar-SA"/>
    </w:rPr>
  </w:style>
  <w:style w:type="character" w:customStyle="1" w:styleId="BodyText2Char">
    <w:name w:val="Body Text 2 Char"/>
    <w:basedOn w:val="DefaultParagraphFont"/>
    <w:link w:val="BodyText2"/>
    <w:uiPriority w:val="99"/>
    <w:rsid w:val="00AA1D8D"/>
    <w:rPr>
      <w:lang w:val="sv-SE" w:eastAsia="en-US" w:bidi="ar-SA"/>
    </w:rPr>
  </w:style>
  <w:style w:type="paragraph" w:styleId="BodyText3">
    <w:name w:val="Body Text 3"/>
    <w:basedOn w:val="Normal"/>
    <w:link w:val="BodyText3Char"/>
    <w:uiPriority w:val="99"/>
    <w:unhideWhenUsed/>
    <w:rsid w:val="00AA1D8D"/>
    <w:pPr>
      <w:spacing w:after="120"/>
    </w:pPr>
    <w:rPr>
      <w:sz w:val="16"/>
      <w:szCs w:val="16"/>
      <w:lang w:val="sv-SE" w:eastAsia="en-US" w:bidi="ar-SA"/>
    </w:rPr>
  </w:style>
  <w:style w:type="character" w:customStyle="1" w:styleId="BodyText3Char">
    <w:name w:val="Body Text 3 Char"/>
    <w:basedOn w:val="DefaultParagraphFont"/>
    <w:link w:val="BodyText3"/>
    <w:uiPriority w:val="99"/>
    <w:rsid w:val="00AA1D8D"/>
    <w:rPr>
      <w:sz w:val="16"/>
      <w:szCs w:val="16"/>
      <w:lang w:val="sv-SE" w:eastAsia="en-US" w:bidi="ar-SA"/>
    </w:rPr>
  </w:style>
  <w:style w:type="paragraph" w:styleId="List">
    <w:name w:val="List"/>
    <w:basedOn w:val="Normal"/>
    <w:uiPriority w:val="99"/>
    <w:unhideWhenUsed/>
    <w:rsid w:val="00AA1D8D"/>
    <w:pPr>
      <w:ind w:left="360" w:hanging="360"/>
      <w:contextualSpacing/>
    </w:pPr>
    <w:rPr>
      <w:lang w:val="sv-SE" w:eastAsia="en-US" w:bidi="ar-SA"/>
    </w:rPr>
  </w:style>
  <w:style w:type="paragraph" w:styleId="List2">
    <w:name w:val="List 2"/>
    <w:basedOn w:val="Normal"/>
    <w:uiPriority w:val="99"/>
    <w:unhideWhenUsed/>
    <w:rsid w:val="00326F90"/>
    <w:pPr>
      <w:ind w:left="720" w:hanging="360"/>
      <w:contextualSpacing/>
    </w:pPr>
    <w:rPr>
      <w:lang w:val="sv-SE" w:eastAsia="en-US" w:bidi="ar-SA"/>
    </w:rPr>
  </w:style>
  <w:style w:type="paragraph" w:styleId="List3">
    <w:name w:val="List 3"/>
    <w:basedOn w:val="Normal"/>
    <w:uiPriority w:val="99"/>
    <w:unhideWhenUsed/>
    <w:rsid w:val="00326F90"/>
    <w:pPr>
      <w:ind w:left="1080" w:hanging="360"/>
      <w:contextualSpacing/>
    </w:pPr>
    <w:rPr>
      <w:lang w:val="sv-SE" w:eastAsia="en-US" w:bidi="ar-SA"/>
    </w:rPr>
  </w:style>
  <w:style w:type="paragraph" w:styleId="ListBullet">
    <w:name w:val="List Bullet"/>
    <w:basedOn w:val="Normal"/>
    <w:uiPriority w:val="99"/>
    <w:unhideWhenUsed/>
    <w:rsid w:val="00326F90"/>
    <w:pPr>
      <w:numPr>
        <w:numId w:val="1"/>
      </w:numPr>
      <w:contextualSpacing/>
    </w:pPr>
    <w:rPr>
      <w:lang w:val="sv-SE" w:eastAsia="en-US" w:bidi="ar-SA"/>
    </w:rPr>
  </w:style>
  <w:style w:type="paragraph" w:styleId="ListBullet2">
    <w:name w:val="List Bullet 2"/>
    <w:basedOn w:val="Normal"/>
    <w:uiPriority w:val="99"/>
    <w:unhideWhenUsed/>
    <w:rsid w:val="00326F90"/>
    <w:pPr>
      <w:numPr>
        <w:numId w:val="2"/>
      </w:numPr>
      <w:contextualSpacing/>
    </w:pPr>
    <w:rPr>
      <w:lang w:val="sv-SE" w:eastAsia="en-US" w:bidi="ar-SA"/>
    </w:rPr>
  </w:style>
  <w:style w:type="paragraph" w:styleId="ListBullet3">
    <w:name w:val="List Bullet 3"/>
    <w:basedOn w:val="Normal"/>
    <w:uiPriority w:val="99"/>
    <w:unhideWhenUsed/>
    <w:rsid w:val="00326F90"/>
    <w:pPr>
      <w:numPr>
        <w:numId w:val="3"/>
      </w:numPr>
      <w:contextualSpacing/>
    </w:pPr>
    <w:rPr>
      <w:lang w:val="sv-SE" w:eastAsia="en-US" w:bidi="ar-SA"/>
    </w:rPr>
  </w:style>
  <w:style w:type="paragraph" w:styleId="ListNumber">
    <w:name w:val="List Number"/>
    <w:basedOn w:val="Normal"/>
    <w:uiPriority w:val="99"/>
    <w:unhideWhenUsed/>
    <w:rsid w:val="00326F90"/>
    <w:pPr>
      <w:numPr>
        <w:numId w:val="5"/>
      </w:numPr>
      <w:contextualSpacing/>
    </w:pPr>
    <w:rPr>
      <w:lang w:val="sv-SE" w:eastAsia="en-US" w:bidi="ar-SA"/>
    </w:rPr>
  </w:style>
  <w:style w:type="paragraph" w:styleId="ListNumber2">
    <w:name w:val="List Number 2"/>
    <w:basedOn w:val="Normal"/>
    <w:uiPriority w:val="99"/>
    <w:unhideWhenUsed/>
    <w:rsid w:val="0029639D"/>
    <w:pPr>
      <w:numPr>
        <w:numId w:val="6"/>
      </w:numPr>
      <w:contextualSpacing/>
    </w:pPr>
    <w:rPr>
      <w:lang w:val="sv-SE" w:eastAsia="en-US" w:bidi="ar-SA"/>
    </w:rPr>
  </w:style>
  <w:style w:type="paragraph" w:styleId="ListNumber3">
    <w:name w:val="List Number 3"/>
    <w:basedOn w:val="Normal"/>
    <w:uiPriority w:val="99"/>
    <w:unhideWhenUsed/>
    <w:rsid w:val="0029639D"/>
    <w:pPr>
      <w:numPr>
        <w:numId w:val="7"/>
      </w:numPr>
      <w:contextualSpacing/>
    </w:pPr>
    <w:rPr>
      <w:lang w:val="sv-SE" w:eastAsia="en-US" w:bidi="ar-SA"/>
    </w:rPr>
  </w:style>
  <w:style w:type="paragraph" w:styleId="ListContinue">
    <w:name w:val="List Continue"/>
    <w:basedOn w:val="Normal"/>
    <w:uiPriority w:val="99"/>
    <w:unhideWhenUsed/>
    <w:rsid w:val="0029639D"/>
    <w:pPr>
      <w:spacing w:after="120"/>
      <w:ind w:left="360"/>
      <w:contextualSpacing/>
    </w:pPr>
    <w:rPr>
      <w:lang w:val="sv-SE" w:eastAsia="en-US" w:bidi="ar-SA"/>
    </w:rPr>
  </w:style>
  <w:style w:type="paragraph" w:styleId="ListContinue2">
    <w:name w:val="List Continue 2"/>
    <w:basedOn w:val="Normal"/>
    <w:uiPriority w:val="99"/>
    <w:unhideWhenUsed/>
    <w:rsid w:val="0029639D"/>
    <w:pPr>
      <w:spacing w:after="120"/>
      <w:ind w:left="720"/>
      <w:contextualSpacing/>
    </w:pPr>
    <w:rPr>
      <w:lang w:val="sv-SE" w:eastAsia="en-US" w:bidi="ar-SA"/>
    </w:rPr>
  </w:style>
  <w:style w:type="paragraph" w:styleId="ListContinue3">
    <w:name w:val="List Continue 3"/>
    <w:basedOn w:val="Normal"/>
    <w:uiPriority w:val="99"/>
    <w:unhideWhenUsed/>
    <w:rsid w:val="0029639D"/>
    <w:pPr>
      <w:spacing w:after="120"/>
      <w:ind w:left="1080"/>
      <w:contextualSpacing/>
    </w:pPr>
    <w:rPr>
      <w:lang w:val="sv-SE" w:eastAsia="en-US" w:bidi="ar-SA"/>
    </w:r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lang w:val="sv-SE" w:eastAsia="en-US" w:bidi="ar-SA"/>
    </w:rPr>
  </w:style>
  <w:style w:type="character" w:customStyle="1" w:styleId="MacroTextChar">
    <w:name w:val="Macro Text Char"/>
    <w:basedOn w:val="DefaultParagraphFont"/>
    <w:link w:val="MacroText"/>
    <w:uiPriority w:val="99"/>
    <w:rsid w:val="0029639D"/>
    <w:rPr>
      <w:rFonts w:ascii="Courier" w:hAnsi="Courier"/>
      <w:sz w:val="20"/>
      <w:szCs w:val="20"/>
      <w:lang w:val="sv-SE" w:eastAsia="en-US" w:bidi="ar-SA"/>
    </w:rPr>
  </w:style>
  <w:style w:type="paragraph" w:styleId="Quote">
    <w:name w:val="Quote"/>
    <w:basedOn w:val="Normal"/>
    <w:next w:val="Normal"/>
    <w:link w:val="QuoteChar"/>
    <w:uiPriority w:val="29"/>
    <w:qFormat/>
    <w:rsid w:val="00FC693F"/>
    <w:rPr>
      <w:i/>
      <w:iCs/>
      <w:color w:val="000000" w:themeColor="text1"/>
      <w:lang w:val="sv-SE" w:eastAsia="en-US" w:bidi="ar-SA"/>
    </w:rPr>
  </w:style>
  <w:style w:type="character" w:customStyle="1" w:styleId="QuoteChar">
    <w:name w:val="Quote Char"/>
    <w:basedOn w:val="DefaultParagraphFont"/>
    <w:link w:val="Quote"/>
    <w:uiPriority w:val="29"/>
    <w:rsid w:val="00FC693F"/>
    <w:rPr>
      <w:i/>
      <w:iCs/>
      <w:color w:val="000000" w:themeColor="text1"/>
      <w:lang w:val="sv-SE" w:eastAsia="en-US" w:bidi="ar-SA"/>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lang w:val="sv-SE" w:eastAsia="en-US" w:bidi="ar-SA"/>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lang w:val="sv-SE" w:eastAsia="en-US" w:bidi="ar-SA"/>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lang w:val="sv-SE" w:eastAsia="en-US" w:bidi="ar-SA"/>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lang w:val="sv-SE" w:eastAsia="en-US" w:bidi="ar-SA"/>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lang w:val="sv-SE" w:eastAsia="en-US" w:bidi="ar-SA"/>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lang w:val="sv-SE" w:eastAsia="en-US" w:bidi="ar-SA"/>
    </w:rPr>
  </w:style>
  <w:style w:type="paragraph" w:styleId="Caption">
    <w:name w:val="caption"/>
    <w:basedOn w:val="Normal"/>
    <w:next w:val="Normal"/>
    <w:uiPriority w:val="35"/>
    <w:unhideWhenUsed/>
    <w:qFormat/>
    <w:rsid w:val="00ED360C"/>
    <w:pPr>
      <w:spacing w:after="80" w:line="240" w:lineRule="auto"/>
    </w:pPr>
    <w:rPr>
      <w:bCs/>
      <w:sz w:val="18"/>
      <w:szCs w:val="18"/>
      <w:lang w:val="sv-SE" w:eastAsia="en-US" w:bidi="ar-SA"/>
    </w:rPr>
  </w:style>
  <w:style w:type="character" w:styleId="Strong">
    <w:name w:val="Strong"/>
    <w:basedOn w:val="DefaultParagraphFont"/>
    <w:uiPriority w:val="22"/>
    <w:qFormat/>
    <w:rsid w:val="00FC693F"/>
    <w:rPr>
      <w:b/>
      <w:bCs/>
      <w:lang w:val="sv-SE" w:eastAsia="en-US" w:bidi="ar-SA"/>
    </w:rPr>
  </w:style>
  <w:style w:type="character" w:styleId="Emphasis">
    <w:name w:val="Emphasis"/>
    <w:basedOn w:val="DefaultParagraphFont"/>
    <w:uiPriority w:val="20"/>
    <w:qFormat/>
    <w:rsid w:val="00FC693F"/>
    <w:rPr>
      <w:i/>
      <w:iCs/>
      <w:lang w:val="sv-SE" w:eastAsia="en-US" w:bidi="ar-SA"/>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lang w:val="sv-SE" w:eastAsia="en-US" w:bidi="ar-SA"/>
    </w:rPr>
  </w:style>
  <w:style w:type="character" w:customStyle="1" w:styleId="IntenseQuoteChar">
    <w:name w:val="Intense Quote Char"/>
    <w:basedOn w:val="DefaultParagraphFont"/>
    <w:link w:val="IntenseQuote"/>
    <w:uiPriority w:val="30"/>
    <w:rsid w:val="00FC693F"/>
    <w:rPr>
      <w:b/>
      <w:bCs/>
      <w:i/>
      <w:iCs/>
      <w:color w:val="4F81BD" w:themeColor="accent1"/>
      <w:lang w:val="sv-SE" w:eastAsia="en-US" w:bidi="ar-SA"/>
    </w:rPr>
  </w:style>
  <w:style w:type="character" w:styleId="SubtleEmphasis">
    <w:name w:val="Subtle Emphasis"/>
    <w:basedOn w:val="DefaultParagraphFont"/>
    <w:uiPriority w:val="19"/>
    <w:qFormat/>
    <w:rsid w:val="00FC693F"/>
    <w:rPr>
      <w:i/>
      <w:iCs/>
      <w:color w:val="808080" w:themeColor="text1" w:themeTint="7F"/>
      <w:lang w:val="sv-SE" w:eastAsia="en-US" w:bidi="ar-SA"/>
    </w:rPr>
  </w:style>
  <w:style w:type="character" w:styleId="IntenseEmphasis">
    <w:name w:val="Intense Emphasis"/>
    <w:basedOn w:val="DefaultParagraphFont"/>
    <w:uiPriority w:val="21"/>
    <w:qFormat/>
    <w:rsid w:val="00FC693F"/>
    <w:rPr>
      <w:b/>
      <w:bCs/>
      <w:i/>
      <w:iCs/>
      <w:color w:val="4F81BD" w:themeColor="accent1"/>
      <w:lang w:val="sv-SE" w:eastAsia="en-US" w:bidi="ar-SA"/>
    </w:rPr>
  </w:style>
  <w:style w:type="character" w:styleId="SubtleReference">
    <w:name w:val="Subtle Reference"/>
    <w:basedOn w:val="DefaultParagraphFont"/>
    <w:uiPriority w:val="31"/>
    <w:qFormat/>
    <w:rsid w:val="00FC693F"/>
    <w:rPr>
      <w:smallCaps/>
      <w:color w:val="C0504D" w:themeColor="accent2"/>
      <w:u w:val="single"/>
      <w:lang w:val="sv-SE" w:eastAsia="en-US" w:bidi="ar-SA"/>
    </w:rPr>
  </w:style>
  <w:style w:type="character" w:styleId="IntenseReference">
    <w:name w:val="Intense Reference"/>
    <w:basedOn w:val="DefaultParagraphFont"/>
    <w:uiPriority w:val="32"/>
    <w:qFormat/>
    <w:rsid w:val="00FC693F"/>
    <w:rPr>
      <w:b/>
      <w:bCs/>
      <w:smallCaps/>
      <w:color w:val="C0504D" w:themeColor="accent2"/>
      <w:spacing w:val="5"/>
      <w:u w:val="single"/>
      <w:lang w:val="sv-SE" w:eastAsia="en-US" w:bidi="ar-SA"/>
    </w:rPr>
  </w:style>
  <w:style w:type="character" w:styleId="BookTitle">
    <w:name w:val="Book Title"/>
    <w:basedOn w:val="DefaultParagraphFont"/>
    <w:uiPriority w:val="33"/>
    <w:qFormat/>
    <w:rsid w:val="00FC693F"/>
    <w:rPr>
      <w:b/>
      <w:bCs/>
      <w:smallCaps/>
      <w:spacing w:val="5"/>
      <w:lang w:val="sv-SE" w:eastAsia="en-US" w:bidi="ar-SA"/>
    </w:rPr>
  </w:style>
  <w:style w:type="paragraph" w:styleId="TOCHeading">
    <w:name w:val="TOC Heading"/>
    <w:basedOn w:val="Heading1"/>
    <w:next w:val="Normal"/>
    <w:uiPriority w:val="39"/>
    <w:semiHidden/>
    <w:unhideWhenUsed/>
    <w:qFormat/>
    <w:rsid w:val="00FC693F"/>
    <w:pPr>
      <w:outlineLvl w:val="9"/>
    </w:pPr>
    <w:rPr>
      <w:lang w:val="sv-SE" w:eastAsia="en-US" w:bidi="ar-SA"/>
    </w:rPr>
  </w:style>
  <w:style w:type="table" w:styleId="TableGrid">
    <w:name w:val="Table Grid"/>
    <w:basedOn w:val="TableNormal"/>
    <w:uiPriority w:val="59"/>
    <w:rsid w:val="00FC693F"/>
    <w:pPr>
      <w:spacing w:after="0" w:line="240" w:lineRule="auto"/>
    </w:pPr>
    <w:rPr>
      <w:lang w:val="sv-SE" w:eastAsia="en-US"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